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3D3D4D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 Евгеньевна Ударцева</cp:lastModifiedBy>
  <cp:revision>2</cp:revision>
  <dcterms:created xsi:type="dcterms:W3CDTF">2020-02-04T12:11:00Z</dcterms:created>
  <dcterms:modified xsi:type="dcterms:W3CDTF">2020-02-04T12:11:00Z</dcterms:modified>
  <dc:description>exif_MSED_915f1afe9f747a2ca0dab31800ee074d63fa81497f1b722a652aef195f91f2f2</dc:description>
</cp:coreProperties>
</file>